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Анализ состояния проблемы: Использование интернета вещей для организации электронного обучения </w:t>
      </w:r>
    </w:p>
    <w:p w:rsidR="00000000" w:rsidDel="00000000" w:rsidP="00000000" w:rsidRDefault="00000000" w:rsidRPr="00000000" w14:paraId="00000002">
      <w:pPr>
        <w:pStyle w:val="Heading1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Выполнил: Салаватов М.В.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ВВЕДЕНИЕ</w:t>
      </w:r>
    </w:p>
    <w:p w:rsidR="00000000" w:rsidDel="00000000" w:rsidP="00000000" w:rsidRDefault="00000000" w:rsidRPr="00000000" w14:paraId="00000004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1.1 Актуальность проблемы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Интернет вещей (IoT — Internet of Things) представляет собой одну из наиболее перспективных и быстроразвивающихся технологий, которая находит применение во всех сферах человеческой деятельности. Образовательный сектор не является исключением — технология IoT активно интегрируется в процессы обучения, трансформируя традиционные методы преподавания и создавая принципиально новые возможности для организации электронного обучения (e-learning).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Глобальный рынок образовательных технологий демонстрирует динамичный рост: прогнозируется увеличение с USD 142,37 млрд в 2023 году до USD 605 млрд к 2027 году. В России рынок электронного обучения растет еще более впечатляющими темпами — в 2023 году прирост составил 31%, достигнув объема ₽123 млрд. Количество студентов, обучающихся с использованием электронных и дистанционных технологий, увеличилось с 3,1 млн человек в 2019 году до 8,1 млн человек в 2024 году — почти 2,6-кратный рост за пять лет.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Однако, несмотря на растущий интерес и инвестиции, существует значительный разрыв между технологическим потенциалом IoT и его фактической реализацией в образовательной практике. Это обусловливает необходимость глубокого анализа состояния проблемы, включая возможности, вызовы и барьеры, стоящие перед внедрением IoT в системы электронного обучения.</w:t>
      </w:r>
    </w:p>
    <w:p w:rsidR="00000000" w:rsidDel="00000000" w:rsidP="00000000" w:rsidRDefault="00000000" w:rsidRPr="00000000" w14:paraId="00000008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1.2 Определение ключевых понятий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Интернет вещей (IoT)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— это глобальная сеть физических устройств, оборудованных датчиками, встроенными системами обработки и средствами связи, позволяющая им собирать, обмениваться и анализировать данные через Интернет-инфраструктуру.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Электронное обучение (e-learning)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— образовательный процесс, реализуемый с использованием электронных ресурсов, включая компьютеры, сетевые технологии (Интернет, Интранет, Экстранет) и иные электронные средства доставки контента.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Умная обучающая среда (Smart Learning Environment)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— интегрированное образовательное пространство, оснащенное взаимосвязанными IoT-устройствами и системами, которые собирают данные о процессе обучения и автоматически адаптируют образовательный процесс под индивидуальные потребности учащихся.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СОСТОЯНИЕ РАЗРАБОТКИ ПРОБЛЕМЫ В НАУЧНОЙ ЛИТЕРАТУРЕ</w:t>
      </w:r>
    </w:p>
    <w:p w:rsidR="00000000" w:rsidDel="00000000" w:rsidP="00000000" w:rsidRDefault="00000000" w:rsidRPr="00000000" w14:paraId="0000000E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2.1 Глобальный контекст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Научные исследования в области IoT и электронного обучения сформировали несколько основных направлений анализа: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Технологическая архитектура IoT-систем в образовании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базируется на многоуровневой модели, включающей: - Уровень восприятия (Perception Layer): датчики, актуаторы, шлюзы для сбора данных - Сетевой уровень (Network Layer): протоколы связи (MQTT, CoAP, HTTP), обеспечивающие передачу данных - Промежуточный уровень (Middleware Layer): сервисы интеграции, трансформации данных и управления безопасностью - Уровень приложений (Application Layer): пользовательские интерфейсы, системы аналитики - Бизнес-уровень (Business Layer): интеграция с процессами управления учреждением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Данная архитектура позволяет создавать как локальные решения (отдельные умные аудитории), так и распределенные системы управления образовательными кампусами.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Практические применения IoT в e-learning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включают: - Умные аудитории с интерактивными досками и системами управления микроклиматом - Системы мониторинга участия и вовлеченности студентов в реальном времени - Виртуальные лаборатории, позволяющие безопасно проводить экспериментальное обучение - Адаптивные системы обучения, персонализирующие контент на основе анализа данных о процессе обучения - Платформы удаленного обучения с поддержкой синхронной и асинхронной взаимодействии</w:t>
      </w:r>
    </w:p>
    <w:p w:rsidR="00000000" w:rsidDel="00000000" w:rsidP="00000000" w:rsidRDefault="00000000" w:rsidRPr="00000000" w14:paraId="00000013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2.2 Российский контекст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России развитие IoT в образовании поддерживается государственной политикой: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Государственные инициативы: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Федеральный проект "Цифровая образовательная среда" (реализуется через 2024 год) предусматривает модернизацию материально-технической базы школ и вузов - Национальный проект "Образование" обеспечивает финансирование и поддержку цифровой трансформации - Система "Датахаб" для управления данными в науке и высшем образовании с использованием методов машинного обучения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Тренды развития: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Интеграция искусственного интеллекта и машинного обучения в образовательные платформы - Развитие MOOC-технологий (массовых открытых онлайн-курсов) на отечественных платформах - Внедрение систем LMS (Learning Management Systems), в частности Moodle, в большинство российских вузов - Развитие технологий микрообучения (microlearning) и адаптивного обучения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ВОЗМОЖНОСТИ И ПРЕИМУЩЕСТВА IoT В ЭЛЕКТРОННОМ ОБУЧЕНИИ</w:t>
      </w:r>
    </w:p>
    <w:p w:rsidR="00000000" w:rsidDel="00000000" w:rsidP="00000000" w:rsidRDefault="00000000" w:rsidRPr="00000000" w14:paraId="00000019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3.1 Повышение эффективности образовательного процесса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Персонализированное обучение: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IoT-устройства собирают детальные данные о стиле обучения, темпе усвоения материала и областях затруднений каждого учащегося. Системы машинного обучения анализируют эти данные и генерируют индивидуальные образовательные траектории. Исследования показывают, что студенты, обучающиеся с использованием IoT-систем адаптивной оценки, демонстрируют на 12% более высокие результаты тестирования по сравнению с традиционными методами.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Повышение вовлеченности и мотивации: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Интерактивные IoT-устройства (смарт-доски, планшеты, носимые устройства) трансформируют пассивное восприятие информации в активное участие. Геймификация, реальные системы обратной связи и индивидуализированный контент значительно повышают устойчивый интерес учащихся к обучению.</w:t>
      </w:r>
    </w:p>
    <w:p w:rsidR="00000000" w:rsidDel="00000000" w:rsidP="00000000" w:rsidRDefault="00000000" w:rsidRPr="00000000" w14:paraId="0000001C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3.2 Развитие новых дидактических возможностей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Виртуальные лаборатории и иммерсивное обучение: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IoT-технология, интегрированная с виртуальной реальностью (VR) и дополненной реальностью (AR), позволяет учащимся безопасно проводить виртуальные эксперименты, изучать исторические события, исследовать анатомические структуры и осваивать сложные технические концепции в интерактивной форме. Это особенно ценно для STEM-образования, медицинского обучения и инженерной подготовки.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Синхронная и асинхронная коллаборация: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IoT-системы разрушают географические границы образования, позволяя студентам из разных регионов и стран взаимодействовать в режиме реального времени, обмениваться ресурсами и совместно решать проблемы.</w:t>
      </w:r>
    </w:p>
    <w:p w:rsidR="00000000" w:rsidDel="00000000" w:rsidP="00000000" w:rsidRDefault="00000000" w:rsidRPr="00000000" w14:paraId="0000001F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3.3 Оптимизация управления образовательными процессами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Автоматизация административных задач: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Системы на основе IoT способны автоматизировать учет посещаемости (через биометрические сканеры или RFID), оценивание работ и определение областей, требующих вмешательства педагога. Это освобождает значительное количество времени преподавателей для решения методических задач.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Управление ресурсами и инфраструктурой: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IoT-датчики в зданиях кампусов мониторят окружающую среду (температуру, влажность, качество воздуха, освещение) и автоматически оптимизируют условия. Системы управления энергопотреблением снижают операционные расходы на 20-30%.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Безопасность и здоровье: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IoT-системы обеспечивают мониторинг физической безопасности кампусов, экстренное оповещение и отслеживание здоровья студентов.</w:t>
      </w:r>
    </w:p>
    <w:p w:rsidR="00000000" w:rsidDel="00000000" w:rsidP="00000000" w:rsidRDefault="00000000" w:rsidRPr="00000000" w14:paraId="00000023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3.4 Данные для принятия решений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Аналитика обучения: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Непрерывный сбор данных о поведении, результативности и предпочтениях учащихся создает богатую информационную базу для: - Идентификации студентов, находящихся в группе риска, с целью оказания своевременной поддержки - Анализа эффективности методов преподавания - Принятия обоснованных управленческих решений на уровне учреждения - Развития научных исследований в области педагогики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 ВЫЗОВЫ И БАРЬЕРЫ ВНЕДРЕНИЯ IoT В ЭЛЕКТРОННОЕ ОБУЧЕНИЕ</w:t>
      </w:r>
    </w:p>
    <w:p w:rsidR="00000000" w:rsidDel="00000000" w:rsidP="00000000" w:rsidRDefault="00000000" w:rsidRPr="00000000" w14:paraId="00000027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4.1 Инфраструктурные и экономические барьеры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Высокие затраты на внедрение: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Развертывание IoT-системы требует значительных капиталовложений на закупку устройств (датчики, микроконтроллеры, смарт-дисплеи), сетевого оборудования, облачных сервисов и программного обеспечения. К этому добавляются текущие расходы на обслуживание, обновление оборудования и управление данными. Для большинства образовательных учреждений, особенно в развивающихся странах и сельской местности, эти затраты являются непреодолимым препятствием.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Требования к инфраструктуре: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Высокоскоростное интернет-соединение (минимум 10 Мбит/с на устройство) - Надежное электроснабжение и резервные источники энергии - Достаточная пропускная способность сети для обработки потоков данных от множества датчиков - Физическое пространство для установки оборудования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 многих регионах, особенно сельских, отсутствуют даже базовые условия для развертывания IoT-систем.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Цифровой разрыв: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Социально-экономические диспропорции в доступе к технологиям между студентами из благополучных и малообеспеченных семей рискуют усугубить неравенство в образовании.</w:t>
      </w:r>
    </w:p>
    <w:p w:rsidR="00000000" w:rsidDel="00000000" w:rsidP="00000000" w:rsidRDefault="00000000" w:rsidRPr="00000000" w14:paraId="0000002C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4.2 Технические и интеграционные вызовы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Проблемы совместимости: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Системы IoT часто включают устройства различных производителей, использующие несовместимые протоколы и форматы данных. Интеграция их в единую образовательную платформу требует значительных инженерных работ и остается серьезным препятствием, несмотря на работы по стандартизации.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Недостаток технической экспертизы: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Реализация и управление IoT-системами требует специализированных знаний в области сетевых технологий, кибербезопасности, аналитики больших данных и машинного обучения. Большинство образовательных учреждений не располагает внутренними компетенциями и не могут позволить себе привлечение внешних консультантов.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Масштабируемость и надежность: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 мере роста числа подключенных устройств геометрически растут требования к вычислительным ресурсам, пропускной способности и системной надежности. Отказы в системе критичны для учебного процесса.</w:t>
      </w:r>
    </w:p>
    <w:p w:rsidR="00000000" w:rsidDel="00000000" w:rsidP="00000000" w:rsidRDefault="00000000" w:rsidRPr="00000000" w14:paraId="00000030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4.3 Вопросы безопасности и конфиденциальности данных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Киберугрозы: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IoT-устройства традиционно считаются менее защищенными, чем стационарные компьютерные системы. Образовательные системы IoT собирают чувствительные личные данные студентов (возраст, прогресс в обучении, поведенческие характеристики, иногда биометрические данные), что делает их привлекательной мишенью для киберпреступников и требует многоуровневой защиты.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Нормативно-правовое регулирование: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Система IoT должна соответствовать требованиям законов о защите данных: Федерального закона "О защите персональных данных" в России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Обеспечение соответствия требованиям добавляет сложность и стоимость.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Этические вопросы: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Вопросы собственности данных и права на приватность - Необходимость получения осознанного согласия студентов и их опекунов на сбор данных - Прозрачность алгоритмов машинного обучения, используемых для адаптации обучения - Риск непредусмотренного надзора над студентами</w:t>
      </w:r>
    </w:p>
    <w:p w:rsidR="00000000" w:rsidDel="00000000" w:rsidP="00000000" w:rsidRDefault="00000000" w:rsidRPr="00000000" w14:paraId="00000035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4.4 Организационные и культурные барьеры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Сопротивление изменениям: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Внедрение IoT может встретить сопротивление со стороны: - Преподавателей, опасающихся вытеснения технологиями или дополнительной нагрузки - Администраторов, скептичных к ROI (возврату инвестиций) - Родителей, обеспокоенных конфиденциальностью данных детей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Требования к переподготовке: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Педагоги и административный персонал нуждаются в переподготовке для эффективного использования IoT-систем. Это требует времени и ресурсов.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Отсутствие четких методологий внедрения: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Лучшие практики внедрения IoT в образование еще не полностью определены. Каждое учреждение вынуждено самостоятельно разрабатывать подходы, что увеличивает риск неудачи.</w:t>
      </w:r>
    </w:p>
    <w:p w:rsidR="00000000" w:rsidDel="00000000" w:rsidP="00000000" w:rsidRDefault="00000000" w:rsidRPr="00000000" w14:paraId="00000039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4.5 Здоровье и благополучие учащихся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Воздействие синего света: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Длительное использование IoT-устройств со светодиодными экранами может неблагоприятно влиять на развитие зрения у детей и подростков. Необходимы балансированные подходы к использованию технологий.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Цифровое утомление: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Избыточное взаимодействие с цифровыми устройствами может привести к усталости, нарушениям сна и другим здоровье-связанным проблемам.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 ТЕКУЩЕЕ СОСТОЯНИЕ И ИССЛЕДОВАТЕЛЬСКИЕ ПРОБЕЛЫ</w:t>
      </w:r>
    </w:p>
    <w:p w:rsidR="00000000" w:rsidDel="00000000" w:rsidP="00000000" w:rsidRDefault="00000000" w:rsidRPr="00000000" w14:paraId="0000003E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5.1 Недостаточность российских исследований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Хотя глобальное научное сообщество активно исследует IoT в образовании, российские исследования в этой области остаются ограниченными. Большинство публикаций сосредоточены на общих принципах внедрения технологии, но отсутствуют: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Исследования в контексте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особенностей применения IoT в российской системе образования с учетом ее специфики, инфраструктурных ограничений и культурных особенностей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Эмпирические исследования эффективности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IoT-систем в отечественных учреждениях с долгосрочным анализом impact на результаты обучения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Экономические анализы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затрат и выгод внедрения IoT в российском контексте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Социологические исследования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готовности преподавателей, студентов и администраторов к цифровой трансформации</w:t>
      </w:r>
    </w:p>
    <w:p w:rsidR="00000000" w:rsidDel="00000000" w:rsidP="00000000" w:rsidRDefault="00000000" w:rsidRPr="00000000" w14:paraId="00000044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5.2 Пробелы в научном знании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Отсутствие стандартизированных шаблонов использования: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Не существует общепринятых рекомендаций по архитектуре IoT-систем для образовательных учреждений, что затрудняет масштабирование успешных решений.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Неполное понимание педагогического потенциала: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Большинство исследований сосредоточено на технических аспектах IoT. Мало работ, анализирующих, как IoT может качественно изменить дидактику и методологию преподавания различных дисциплин.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Краткосрочность исследований: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Многие исследования ограничены пилотными проектами на 1-2 года. Требуются долгосрочные лонгитюдные исследования влияния IoT на развитие компетенций и межличностные навыки учащихся.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Недостаток исследований на инклюзивность: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необходимо глубокое изучение того, как IoT-системы могут способствовать или препятствовать инклюзивному образованию и снижению неравенства.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6. РЕКОМЕНДАЦИИ ДЛЯ ДАЛЬНЕЙШИХ ИССЛЕДОВАНИЙ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основе анализа состояния проблемы выделяются следующие приоритетные направления для будущих исследований: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Разработка модели IoT для российского образования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которая учитывает специфические условия различных типов учреждений (школы, вузы, учреждения дополнительного образования).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Создание интегрированной методологии внедрения IoT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включающей технические, организационные и педагогические аспекты, с четкими метриками успеха.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Проведение полномасштабных эмпирических исследований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эффективности IoT-систем в различных образовательных контекстах с анализом долгосрочного влияния на результаты обучения.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Разработка соответствующих программ переподготовки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преподавателей и администраторов образовательных учреждений.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Исследование аспектов информационной безопасности и конфиденциальности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в контексте образовательных IoT-систем, разработка национальных рекомендаций.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Анализ справедливости в доступе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IoT-технологиям и способов минимизации цифрового разрыва.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7. ЗАКЛЮЧЕНИЕ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Интернет вещей представляет собой мощный инструмент для трансформации электронного обучения, открывающий значительные возможности для персонализации, повышения вовлеченности и оптимизации управления образовательными процессами. Однако реализация этого потенциала требует преодоления множества технических, экономических, организационных и правовых барьеров.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российском контексте развитие IoT в образовании поддерживается государственными инициативами и растущим рынком образовательных технологий, однако существует острая необходимость в углубленных исследованиях, разработке стандартизированных подходов и системном подходе к внедрению этих технологий на национальном уровне.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Преодоление выявленных вызовов потребует скоординированных усилий образовательных учреждений, государственных структур, технологических компаний и научного сообщества, направленных на создание инклюзивной, безопасной и эффективной экосистемы IoT-поддерживаемого обучения.</w:t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2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СПИСОК ИСПОЛЬЗОВАННЫХ ИСТОЧНИКОВ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Мовейд, С. (2024). Internet of Things (IOT) в секторе образования: вызовы и возможности. International Journal of Scientific Engineering and Research, 12(5), 24-29.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Гацаева, Р.С.-А., Чегемлиева, А.М., Магомадов, М.В. (2023). Преподавание и обучение на основе Интернета вещей (IoT): современные тенденции и вызовы. Педагогический журнал, 13(11A), 640-645.</w:t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Бастос-Лопес, М. и др. (2022). Носимые устройства для обнаружения вовлеченности в образовательных средах. Исследования в области биомедицинских наук, 2022.</w:t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Игнитек. (2024). Как IoT переопределяет обучение и повышает вовлеченность студентов. Интернет-публикация.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Фридхайм, Э. и др. (2024). IoT в образовании: трансформирование образовательных сред. Статья о технологиях в образовании.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Технологический университет Мюнхена. (2024). Практический курс для магистрантов: Edge Computing и Интернет вещей.</w:t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Transforming E-learning systems with AI and IoT Powered by 6G Technologies. (2025). Journal of Integration of Scientific Research and Advancement.</w:t>
      </w:r>
    </w:p>
    <w:sectPr>
      <w:pgSz w:h="15840" w:w="12240" w:orient="portrait"/>
      <w:pgMar w:bottom="1134" w:top="1134" w:left="1701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•"/>
      <w:lvlJc w:val="left"/>
      <w:pPr>
        <w:ind w:left="480" w:hanging="480"/>
      </w:pPr>
      <w:rPr/>
    </w:lvl>
    <w:lvl w:ilvl="1">
      <w:start w:val="0"/>
      <w:numFmt w:val="bullet"/>
      <w:lvlText w:val="–"/>
      <w:lvlJc w:val="left"/>
      <w:pPr>
        <w:ind w:left="1200" w:hanging="480"/>
      </w:pPr>
      <w:rPr/>
    </w:lvl>
    <w:lvl w:ilvl="2">
      <w:start w:val="0"/>
      <w:numFmt w:val="bullet"/>
      <w:lvlText w:val="•"/>
      <w:lvlJc w:val="left"/>
      <w:pPr>
        <w:ind w:left="1920" w:hanging="480"/>
      </w:pPr>
      <w:rPr/>
    </w:lvl>
    <w:lvl w:ilvl="3">
      <w:start w:val="0"/>
      <w:numFmt w:val="bullet"/>
      <w:lvlText w:val="–"/>
      <w:lvlJc w:val="left"/>
      <w:pPr>
        <w:ind w:left="2640" w:hanging="480"/>
      </w:pPr>
      <w:rPr/>
    </w:lvl>
    <w:lvl w:ilvl="4">
      <w:start w:val="0"/>
      <w:numFmt w:val="bullet"/>
      <w:lvlText w:val="•"/>
      <w:lvlJc w:val="left"/>
      <w:pPr>
        <w:ind w:left="3360" w:hanging="480"/>
      </w:pPr>
      <w:rPr/>
    </w:lvl>
    <w:lvl w:ilvl="5">
      <w:start w:val="0"/>
      <w:numFmt w:val="bullet"/>
      <w:lvlText w:val="–"/>
      <w:lvlJc w:val="left"/>
      <w:pPr>
        <w:ind w:left="4080" w:hanging="480"/>
      </w:pPr>
      <w:rPr/>
    </w:lvl>
    <w:lvl w:ilvl="6">
      <w:start w:val="0"/>
      <w:numFmt w:val="bullet"/>
      <w:lvlText w:val="•"/>
      <w:lvlJc w:val="left"/>
      <w:pPr>
        <w:ind w:left="4800" w:hanging="48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ru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4f81bd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4f81bd"/>
    </w:rPr>
  </w:style>
  <w:style w:type="paragraph" w:styleId="Title">
    <w:name w:val="Title"/>
    <w:basedOn w:val="Normal"/>
    <w:next w:val="Normal"/>
    <w:pPr>
      <w:keepNext w:val="1"/>
      <w:keepLines w:val="1"/>
      <w:spacing w:after="240" w:before="480" w:lineRule="auto"/>
      <w:jc w:val="center"/>
    </w:pPr>
    <w:rPr>
      <w:rFonts w:ascii="Calibri" w:cs="Calibri" w:eastAsia="Calibri" w:hAnsi="Calibri"/>
      <w:b w:val="1"/>
      <w:bCs w:val="1"/>
      <w:color w:val="335b8a"/>
      <w:sz w:val="36"/>
      <w:szCs w:val="36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paragraph" w:styleId="a0">
    <w:name w:val="Body Text"/>
    <w:basedOn w:val="a"/>
    <w:qFormat w:val="1"/>
    <w:pPr>
      <w:spacing w:after="180" w:before="180"/>
    </w:pPr>
  </w:style>
  <w:style w:type="paragraph" w:styleId="FirstParagraph" w:customStyle="1">
    <w:name w:val="First Paragraph"/>
    <w:basedOn w:val="a0"/>
    <w:next w:val="a0"/>
    <w:qFormat w:val="1"/>
  </w:style>
  <w:style w:type="paragraph" w:styleId="Compact" w:customStyle="1">
    <w:name w:val="Compact"/>
    <w:basedOn w:val="a0"/>
    <w:qFormat w:val="1"/>
    <w:pPr>
      <w:spacing w:after="36" w:before="36"/>
    </w:pPr>
  </w:style>
  <w:style w:type="paragraph" w:styleId="Author" w:customStyle="1">
    <w:name w:val="Author"/>
    <w:next w:val="a0"/>
    <w:qFormat w:val="1"/>
    <w:pPr>
      <w:keepNext w:val="1"/>
      <w:keepLines w:val="1"/>
      <w:jc w:val="center"/>
    </w:pPr>
  </w:style>
  <w:style w:type="paragraph" w:styleId="a6">
    <w:name w:val="Date"/>
    <w:next w:val="a0"/>
    <w:qFormat w:val="1"/>
    <w:pPr>
      <w:keepNext w:val="1"/>
      <w:keepLines w:val="1"/>
      <w:jc w:val="center"/>
    </w:pPr>
  </w:style>
  <w:style w:type="paragraph" w:styleId="Abstract" w:customStyle="1">
    <w:name w:val="Abstract"/>
    <w:basedOn w:val="a"/>
    <w:next w:val="a0"/>
    <w:qFormat w:val="1"/>
    <w:pPr>
      <w:keepNext w:val="1"/>
      <w:keepLines w:val="1"/>
      <w:spacing w:after="300" w:before="300"/>
    </w:pPr>
    <w:rPr>
      <w:sz w:val="20"/>
      <w:szCs w:val="20"/>
    </w:rPr>
  </w:style>
  <w:style w:type="paragraph" w:styleId="a7">
    <w:name w:val="Bibliography"/>
    <w:basedOn w:val="a"/>
    <w:qFormat w:val="1"/>
  </w:style>
  <w:style w:type="paragraph" w:styleId="a8">
    <w:name w:val="Block Text"/>
    <w:basedOn w:val="a0"/>
    <w:next w:val="a0"/>
    <w:uiPriority w:val="9"/>
    <w:unhideWhenUsed w:val="1"/>
    <w:qFormat w:val="1"/>
    <w:pPr>
      <w:spacing w:after="100" w:before="100"/>
    </w:pPr>
    <w:rPr>
      <w:rFonts w:asciiTheme="majorHAnsi" w:cstheme="majorBidi" w:eastAsiaTheme="majorEastAsia" w:hAnsiTheme="majorHAnsi"/>
      <w:bCs w:val="1"/>
      <w:sz w:val="20"/>
      <w:szCs w:val="20"/>
    </w:rPr>
  </w:style>
  <w:style w:type="paragraph" w:styleId="a9">
    <w:name w:val="footnote text"/>
    <w:basedOn w:val="a"/>
    <w:uiPriority w:val="9"/>
    <w:unhideWhenUsed w:val="1"/>
    <w:qFormat w:val="1"/>
  </w:style>
  <w:style w:type="paragraph" w:styleId="DefinitionTerm" w:customStyle="1">
    <w:name w:val="Definition Term"/>
    <w:basedOn w:val="a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 w:val="1"/>
    </w:rPr>
  </w:style>
  <w:style w:type="paragraph" w:styleId="TableCaption" w:customStyle="1">
    <w:name w:val="Table Caption"/>
    <w:basedOn w:val="aa"/>
    <w:pPr>
      <w:keepNext w:val="1"/>
    </w:pPr>
  </w:style>
  <w:style w:type="paragraph" w:styleId="ImageCaption" w:customStyle="1">
    <w:name w:val="Image Caption"/>
    <w:basedOn w:val="aa"/>
  </w:style>
  <w:style w:type="paragraph" w:styleId="Figure" w:customStyle="1">
    <w:name w:val="Figure"/>
    <w:basedOn w:val="a"/>
  </w:style>
  <w:style w:type="paragraph" w:styleId="FigurewithCaption" w:customStyle="1">
    <w:name w:val="Figure with Caption"/>
    <w:basedOn w:val="Figure"/>
    <w:pPr>
      <w:keepNext w:val="1"/>
    </w:pPr>
  </w:style>
  <w:style w:type="character" w:styleId="ab" w:customStyle="1">
    <w:name w:val="Название объекта Знак"/>
    <w:basedOn w:val="a1"/>
    <w:link w:val="aa"/>
  </w:style>
  <w:style w:type="character" w:styleId="VerbatimChar" w:customStyle="1">
    <w:name w:val="Verbatim Char"/>
    <w:basedOn w:val="ab"/>
    <w:link w:val="SourceCode"/>
    <w:rPr>
      <w:rFonts w:ascii="Consolas" w:hAnsi="Consolas"/>
      <w:sz w:val="22"/>
    </w:rPr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 w:val="1"/>
    <w:qFormat w:val="1"/>
    <w:pPr>
      <w:spacing w:before="240" w:line="259" w:lineRule="auto"/>
      <w:outlineLvl w:val="9"/>
    </w:pPr>
    <w:rPr>
      <w:b w:val="0"/>
      <w:bCs w:val="0"/>
      <w:color w:val="365f91" w:themeColor="accent1" w:themeShade="0000BF"/>
    </w:rPr>
  </w:style>
  <w:style w:type="paragraph" w:styleId="SourceCode" w:customStyle="1">
    <w:name w:val="Source Code"/>
    <w:basedOn w:val="a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240" w:before="240" w:lineRule="auto"/>
      <w:jc w:val="center"/>
    </w:pPr>
    <w:rPr>
      <w:rFonts w:ascii="Calibri" w:cs="Calibri" w:eastAsia="Calibri" w:hAnsi="Calibri"/>
      <w:b w:val="1"/>
      <w:bCs w:val="1"/>
      <w:color w:val="335b8a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K5l8USlNgz676T3TRX2oQUCcQ==">CgMxLjA4AHIhMTlfcEc4LVJTVExhN2RFMVJheXgyWjRvWkZYaUY2Qkd3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2025-12-25T16:32:00Z</dcterms:created>
</cp:coreProperties>
</file>